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黑体"/>
          <w:color w:val="FF0000"/>
          <w:sz w:val="44"/>
        </w:rPr>
      </w:pPr>
      <w:r>
        <w:rPr>
          <w:rFonts w:eastAsia="黑体"/>
          <w:color w:val="FF0000"/>
          <w:sz w:val="44"/>
        </w:rPr>
        <w:t>中国证券监督管理委员会</w:t>
      </w:r>
      <w:r>
        <w:rPr>
          <w:rFonts w:hint="eastAsia" w:eastAsia="黑体"/>
          <w:color w:val="FF0000"/>
          <w:sz w:val="44"/>
        </w:rPr>
        <w:t>江西监管局</w:t>
      </w:r>
    </w:p>
    <w:p>
      <w:pPr>
        <w:jc w:val="center"/>
        <w:rPr>
          <w:rFonts w:eastAsia="华文中宋"/>
          <w:b/>
          <w:color w:val="FF0000"/>
          <w:spacing w:val="-50"/>
          <w:sz w:val="72"/>
        </w:rPr>
      </w:pPr>
      <w:r>
        <w:rPr>
          <w:rFonts w:eastAsia="华文中宋"/>
          <w:b/>
          <w:color w:val="FF0000"/>
          <w:spacing w:val="-50"/>
          <w:sz w:val="72"/>
        </w:rPr>
        <w:t>行 政 监 管 措 施 决 定 书</w:t>
      </w:r>
    </w:p>
    <w:p>
      <w:pPr>
        <w:jc w:val="center"/>
        <w:rPr>
          <w:rFonts w:eastAsia="仿宋_GB2312"/>
          <w:color w:val="FF0000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0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〕11</w:t>
      </w:r>
      <w:r>
        <w:rPr>
          <w:rFonts w:hint="eastAsia" w:ascii="仿宋_GB2312" w:hAnsi="仿宋_GB2312" w:eastAsia="仿宋_GB2312" w:cs="仿宋_GB2312"/>
          <w:color w:val="auto"/>
          <w:sz w:val="30"/>
        </w:rPr>
        <w:t>号</w:t>
      </w:r>
    </w:p>
    <w:p>
      <w:pPr>
        <w:rPr>
          <w:rFonts w:eastAsia="仿宋_GB2312"/>
          <w:color w:val="auto"/>
          <w:sz w:val="30"/>
          <w:u w:val="single"/>
        </w:rPr>
      </w:pPr>
      <w:r>
        <w:rPr>
          <w:rFonts w:eastAsia="仿宋_GB2312"/>
          <w:color w:val="auto"/>
          <w:sz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Microsoft Sans Serif"/>
          <w:b/>
          <w:bCs/>
          <w:sz w:val="44"/>
          <w:lang w:eastAsia="zh-CN"/>
        </w:rPr>
      </w:pPr>
      <w:r>
        <w:rPr>
          <w:rFonts w:hint="eastAsia" w:ascii="宋体" w:hAnsi="宋体" w:eastAsia="宋体" w:cs="Microsoft Sans Serif"/>
          <w:b/>
          <w:bCs/>
          <w:kern w:val="0"/>
          <w:sz w:val="44"/>
        </w:rPr>
        <w:t>关</w:t>
      </w:r>
      <w:r>
        <w:rPr>
          <w:rFonts w:hint="eastAsia" w:ascii="宋体" w:hAnsi="宋体" w:eastAsia="宋体" w:cs="Microsoft Sans Serif"/>
          <w:b/>
          <w:bCs/>
          <w:sz w:val="44"/>
        </w:rPr>
        <w:t>于对</w:t>
      </w:r>
      <w:r>
        <w:rPr>
          <w:rFonts w:hint="eastAsia" w:ascii="宋体" w:hAnsi="宋体" w:eastAsia="宋体" w:cs="Microsoft Sans Serif"/>
          <w:b/>
          <w:bCs/>
          <w:sz w:val="44"/>
          <w:lang w:eastAsia="zh-CN"/>
        </w:rPr>
        <w:t>方大特钢科技</w:t>
      </w:r>
      <w:r>
        <w:rPr>
          <w:rFonts w:hint="eastAsia" w:ascii="宋体" w:hAnsi="宋体" w:eastAsia="宋体" w:cs="Microsoft Sans Serif"/>
          <w:b/>
          <w:bCs/>
          <w:sz w:val="44"/>
        </w:rPr>
        <w:t>股份有限公司</w:t>
      </w:r>
      <w:r>
        <w:rPr>
          <w:rFonts w:hint="eastAsia" w:ascii="宋体" w:hAnsi="宋体" w:cs="Microsoft Sans Serif"/>
          <w:b/>
          <w:bCs/>
          <w:sz w:val="44"/>
          <w:lang w:eastAsia="zh-CN"/>
        </w:rPr>
        <w:t>、</w:t>
      </w:r>
    </w:p>
    <w:p>
      <w:pPr>
        <w:jc w:val="center"/>
        <w:rPr>
          <w:rFonts w:hint="eastAsia" w:ascii="宋体" w:hAnsi="宋体" w:eastAsia="宋体" w:cs="Microsoft Sans Serif"/>
          <w:b/>
          <w:bCs/>
          <w:sz w:val="44"/>
        </w:rPr>
      </w:pPr>
      <w:r>
        <w:rPr>
          <w:rFonts w:hint="eastAsia" w:ascii="宋体" w:hAnsi="宋体" w:eastAsia="宋体" w:cs="Microsoft Sans Serif"/>
          <w:b/>
          <w:bCs/>
          <w:sz w:val="44"/>
          <w:lang w:val="en-US" w:eastAsia="zh-CN"/>
        </w:rPr>
        <w:t>居琪萍、颜军</w:t>
      </w:r>
      <w:r>
        <w:rPr>
          <w:rFonts w:hint="eastAsia" w:ascii="宋体" w:hAnsi="宋体" w:eastAsia="宋体" w:cs="Microsoft Sans Serif"/>
          <w:b/>
          <w:bCs/>
          <w:sz w:val="44"/>
        </w:rPr>
        <w:t>采取</w:t>
      </w:r>
      <w:r>
        <w:rPr>
          <w:rFonts w:hint="eastAsia" w:ascii="宋体" w:hAnsi="宋体" w:cs="Microsoft Sans Serif"/>
          <w:b/>
          <w:bCs/>
          <w:sz w:val="44"/>
          <w:lang w:eastAsia="zh-CN"/>
        </w:rPr>
        <w:t>出具</w:t>
      </w:r>
      <w:r>
        <w:rPr>
          <w:rFonts w:hint="eastAsia" w:ascii="宋体" w:hAnsi="宋体" w:eastAsia="宋体" w:cs="Microsoft Sans Serif"/>
          <w:b/>
          <w:bCs/>
          <w:sz w:val="44"/>
        </w:rPr>
        <w:t>警示函</w:t>
      </w:r>
    </w:p>
    <w:p>
      <w:pPr>
        <w:jc w:val="center"/>
        <w:rPr>
          <w:rFonts w:hint="eastAsia" w:ascii="宋体" w:hAnsi="宋体" w:eastAsia="宋体" w:cs="Microsoft Sans Serif"/>
          <w:b/>
          <w:bCs/>
          <w:sz w:val="44"/>
        </w:rPr>
      </w:pPr>
      <w:r>
        <w:rPr>
          <w:rFonts w:hint="eastAsia" w:ascii="宋体" w:hAnsi="宋体" w:eastAsia="宋体" w:cs="Microsoft Sans Serif"/>
          <w:b/>
          <w:bCs/>
          <w:sz w:val="44"/>
        </w:rPr>
        <w:t>措施的决定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/>
          <w:color w:val="3333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方大特钢科技股份有限公司、居琪萍、颜军：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经查，方大特钢科技股份有限公司（以下简称公司）2024年未根据企业会计准则规定审慎确认收入，导致202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年一季度报告、半年度报告、三季度报告中营业总收入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、营业总成本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披露不准确。2025年4月30日，公司披露《关于前期会计差错更正的公告》，对上述事项予以更正。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公司上述行为违反了《上市公司信息披露管理办法》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（证监会令第182号，下同）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第三条第一款规定。公司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时任董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事长居琪萍和时任财务总监颜军违反了《上市公司信息披露管理办法》第四条、第五十一条第三款规定，对上述违规行为负有主要责任。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根据《上市公司信息披露管理办法》第五十二条规定，我局决定对方大特钢科技股份有限公司、居琪萍、颜军采取出具警示函的监管措施，并将相关情况记入证券期货市场诚信档案。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监督管理措施不服，可在收到本决定书之日起60日内向中国证券监督管理委员会提出行政复议申请，也可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_GB2312"/>
          <w:color w:val="333333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江西证监局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Microsoft Sans Serif">
    <w:altName w:val="DejaVu Sans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80AC"/>
    <w:rsid w:val="4D3D260F"/>
    <w:rsid w:val="5B6EE2A5"/>
    <w:rsid w:val="B8FD6F6A"/>
    <w:rsid w:val="DFDF8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2025-06-05T08:14:00Z</dcterms:created>
  <dc:creator>程凯：返回拟稿人</dc:creator>
  <cp:lastModifiedBy>uos</cp:lastModifiedBy>
  <dcterms:modified xsi:type="dcterms:W3CDTF">2025-06-13T16:07:16Z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9C71BDADB2323D255F004068E50F761A</vt:lpwstr>
  </property>
</Properties>
</file>